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952FF"/>
          <w:sz w:val="16"/>
        </w:rPr>
        <w:t>PORTS &amp; BRIDGES LIBRARY  ·  TEMPLATE</w:t>
      </w:r>
    </w:p>
    <w:p>
      <w:pPr>
        <w:spacing w:after="80"/>
      </w:pPr>
      <w:r>
        <w:rPr>
          <w:b/>
          <w:color w:val="1F1F21"/>
          <w:sz w:val="48"/>
        </w:rPr>
        <w:t>Weekly operating review</w:t>
      </w:r>
    </w:p>
    <w:p>
      <w:pPr>
        <w:spacing w:after="280"/>
      </w:pPr>
      <w:r>
        <w:rPr>
          <w:b w:val="0"/>
          <w:color w:val="5C5F70"/>
          <w:sz w:val="24"/>
        </w:rPr>
        <w:t>A weekly operating review template that keeps a leadership team on the numbers that matter</w:t>
      </w:r>
    </w:p>
    <w:p>
      <w:pPr>
        <w:spacing w:after="240"/>
      </w:pPr>
      <w:r>
        <w:rPr>
          <w:b w:val="0"/>
          <w:color w:val="5C5F70"/>
          <w:sz w:val="19"/>
        </w:rPr>
        <w:t>How to fill it in: replace the grey prompts with your own content. The notes in the right-hand column explain each part; delete them when you are done.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color="auto" w:fill="F1F2FF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4535"/>
            <w:shd w:val="clear" w:color="auto" w:fill="F1F2FF"/>
          </w:tcPr>
          <w:p>
            <w:r/>
            <w:r>
              <w:rPr>
                <w:b/>
                <w:sz w:val="18"/>
              </w:rPr>
              <w:t>Your content</w:t>
            </w:r>
          </w:p>
        </w:tc>
        <w:tc>
          <w:tcPr>
            <w:tcW w:type="dxa" w:w="2835"/>
            <w:shd w:val="clear" w:color="auto" w:fill="F1F2FF"/>
          </w:tcPr>
          <w:p>
            <w:r/>
            <w:r>
              <w:rPr>
                <w:b/>
                <w:sz w:val="18"/>
              </w:rPr>
              <w:t>Guidance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Meeting details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Day and time · Chair · Note-taker · Attendees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Fix the slot for the year. Moving it signals that the review is optional.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1. Last week’s actions · 5 minutes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Action · Owner · Due · Done or not done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Read the list, do not discuss it. Anything not done becomes an issue for section 3 or is re-dated once.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2. The scorecard · 15 minutes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Measure · Target · This week · Last week · Trend · Owner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Eight to twelve measures at most. Only measures off target are discussed; owners say what happened and what they will do.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3. Two issues · 25 minutes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Issue · Why it matters this month · Options · Decision needed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Choose the two issues before the meeting. Two done properly beat six skimmed.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4. Decisions and actions · 10 minutes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Decision or action · Owner · Due date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Every action has one owner and a date. “The team” is not an owner.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5. What we tell our teams · 5 minutes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Three points every leader shares with their team today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The review only changes the company if its decisions reach the teams the same day.</w:t>
            </w:r>
          </w:p>
        </w:tc>
      </w:tr>
    </w:tbl>
    <w:p/>
    <w:p>
      <w:pPr>
        <w:spacing w:after="80"/>
      </w:pPr>
      <w:r>
        <w:rPr>
          <w:b/>
          <w:color w:val="1F1F21"/>
          <w:sz w:val="28"/>
        </w:rPr>
        <w:t>How to use it</w:t>
      </w:r>
    </w:p>
    <w:p>
      <w:pPr>
        <w:spacing w:after="120"/>
      </w:pPr>
      <w:r>
        <w:rPr>
          <w:b w:val="0"/>
          <w:color w:val="1F1F21"/>
          <w:sz w:val="21"/>
        </w:rPr>
        <w:t>1.  Agree the eight to twelve measures and an owner for each with the leadership team  (30 min)</w:t>
      </w:r>
    </w:p>
    <w:p>
      <w:pPr>
        <w:spacing w:after="120"/>
      </w:pPr>
      <w:r>
        <w:rPr>
          <w:b w:val="0"/>
          <w:color w:val="1F1F21"/>
          <w:sz w:val="21"/>
        </w:rPr>
        <w:t>2.  Set up the scorecard so each owner updates their numbers by Friday evening  (20 min)</w:t>
      </w:r>
    </w:p>
    <w:p>
      <w:pPr>
        <w:spacing w:after="120"/>
      </w:pPr>
      <w:r>
        <w:rPr>
          <w:b w:val="0"/>
          <w:color w:val="1F1F21"/>
          <w:sz w:val="21"/>
        </w:rPr>
        <w:t>3.  Fix the weekly slot and chair, and send the template before the first meeting  (10 min)</w:t>
      </w:r>
    </w:p>
    <w:p>
      <w:pPr>
        <w:spacing w:after="120"/>
      </w:pPr>
      <w:r>
        <w:rPr>
          <w:b w:val="0"/>
          <w:color w:val="1F1F21"/>
          <w:sz w:val="21"/>
        </w:rPr>
        <w:t>4.  After four weeks, drop any measure nobody acts on and replace it  (15 min)</w:t>
      </w:r>
    </w:p>
    <w:p>
      <w:pPr>
        <w:spacing w:after="80"/>
      </w:pPr>
      <w:r>
        <w:rPr>
          <w:b/>
          <w:color w:val="1F1F21"/>
          <w:sz w:val="28"/>
        </w:rPr>
        <w:t>Adapt it</w:t>
      </w:r>
    </w:p>
    <w:p>
      <w:pPr>
        <w:spacing w:after="120"/>
      </w:pPr>
      <w:r>
        <w:rPr>
          <w:b w:val="0"/>
          <w:color w:val="1F1F21"/>
          <w:sz w:val="21"/>
        </w:rPr>
        <w:t>For a team of five or fewer: Run it in forty-five minutes and pick one issue rather than two.</w:t>
      </w:r>
    </w:p>
    <w:p>
      <w:pPr>
        <w:spacing w:after="120"/>
      </w:pPr>
      <w:r>
        <w:rPr>
          <w:b w:val="0"/>
          <w:color w:val="1F1F21"/>
          <w:sz w:val="21"/>
        </w:rPr>
        <w:t>For multi-country companies: Add a country column to the scorecard and rotate one country into the issues section each week.</w:t>
      </w:r>
    </w:p>
    <w:p>
      <w:pPr>
        <w:spacing w:after="120"/>
      </w:pPr>
      <w:r>
        <w:rPr>
          <w:b w:val="0"/>
          <w:color w:val="1F1F21"/>
          <w:sz w:val="21"/>
        </w:rPr>
        <w:t>For regulated businesses: Add a standing line for regulatory and compliance items, kept to five minutes unless something is due.</w:t>
      </w:r>
    </w:p>
    <w:p>
      <w:r>
        <w:br w:type="page"/>
      </w:r>
    </w:p>
    <w:p>
      <w:pPr>
        <w:spacing w:after="40"/>
      </w:pPr>
      <w:r>
        <w:rPr>
          <w:b/>
          <w:color w:val="4952FF"/>
          <w:sz w:val="16"/>
        </w:rPr>
        <w:t>WORKED EXAMPLE</w:t>
      </w:r>
    </w:p>
    <w:p>
      <w:pPr>
        <w:spacing w:after="200"/>
      </w:pPr>
      <w:r>
        <w:rPr>
          <w:b/>
          <w:color w:val="1F1F21"/>
          <w:sz w:val="32"/>
        </w:rPr>
        <w:t>A 180-person payments company in Lagos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Meeting details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Monday 8:30 to 9:30 · Chair: COO · Notes: Chief of Staff · CEO, CFO, CTO, Heads of Sales, Customer Service and Compliance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1. Last week’s actions · 5 minutes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Close 14 overdue merchant settlement disputes · Head of Customer Service · Friday · Done (12 of 14, 2 with legal)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2. The scorecard · 15 minutes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Transaction success rate · 98.5% · 97.1% · 98.6% · Down · CTO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3. Two issues · 25 minutes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Success rate drop on one card network · Merchants threaten to move volume · Switch routing, or wait for network fix · Decide routing by Wednesday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4. Decisions and actions · 10 minutes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Route 40% of affected volume to the second network from Tuesday · CTO · Tuesday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5. What we tell our teams · 5 minutes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Routing change on Tuesday; settlement disputes nearly cleared; hiring freeze in support lifted</w:t>
            </w:r>
          </w:p>
        </w:tc>
      </w:tr>
    </w:tbl>
    <w:p/>
    <w:p>
      <w:pPr>
        <w:spacing w:after="80"/>
      </w:pPr>
      <w:r>
        <w:rPr>
          <w:b/>
          <w:color w:val="1F1F21"/>
          <w:sz w:val="28"/>
        </w:rPr>
        <w:t>From the practitioner</w:t>
      </w:r>
    </w:p>
    <w:p>
      <w:pPr>
        <w:spacing w:after="80"/>
      </w:pPr>
      <w:r>
        <w:rPr>
          <w:b w:val="0"/>
          <w:color w:val="1F1F21"/>
          <w:sz w:val="21"/>
        </w:rPr>
        <w:t>“The review works when it is boring in the best way: same day, same time, same measures, and nobody presents slides. If a measure is on target, nobody talks about it. All the time goes to the two things most likely to hurt you this month.”</w:t>
      </w:r>
    </w:p>
    <w:p>
      <w:pPr>
        <w:spacing w:after="280"/>
      </w:pPr>
      <w:r>
        <w:rPr>
          <w:b w:val="0"/>
          <w:color w:val="5C5F70"/>
          <w:sz w:val="18"/>
        </w:rPr>
        <w:t>Adaeze Okafor, Former Chief Operating Officer, a pan-African payments company</w:t>
      </w:r>
    </w:p>
    <w:p>
      <w:pPr>
        <w:spacing w:after="120"/>
      </w:pPr>
      <w:r>
        <w:rPr>
          <w:b w:val="0"/>
          <w:color w:val="5C5F70"/>
          <w:sz w:val="17"/>
        </w:rPr>
        <w:t>Free from portsandbridges.com/library. Use it freely inside your organization and keep this attribution. Want help putting it to work? Write to info@portsandbridges.com.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operating review</dc:title>
  <dc:subject/>
  <dc:creator>Ports &amp; Bridges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